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0FF40" w14:textId="77777777" w:rsidR="009A5AF9" w:rsidRDefault="009A5AF9">
      <w:pPr>
        <w:rPr>
          <w:b/>
          <w:bCs/>
        </w:rPr>
      </w:pPr>
      <w:r w:rsidRPr="009A5AF9">
        <w:rPr>
          <w:b/>
          <w:bCs/>
        </w:rPr>
        <w:t>Princip Skolens arbejde med elevernes udvikling i skolens faglige og sociale fællesskaber</w:t>
      </w:r>
    </w:p>
    <w:tbl>
      <w:tblPr>
        <w:tblW w:w="9872" w:type="dxa"/>
        <w:tblCellMar>
          <w:left w:w="0" w:type="dxa"/>
          <w:right w:w="0" w:type="dxa"/>
        </w:tblCellMar>
        <w:tblLook w:val="0600" w:firstRow="0" w:lastRow="0" w:firstColumn="0" w:lastColumn="0" w:noHBand="1" w:noVBand="1"/>
      </w:tblPr>
      <w:tblGrid>
        <w:gridCol w:w="1691"/>
        <w:gridCol w:w="8181"/>
      </w:tblGrid>
      <w:tr w:rsidR="009A5AF9" w:rsidRPr="009A5AF9" w14:paraId="05A1A3B1" w14:textId="77777777" w:rsidTr="009A5AF9">
        <w:trPr>
          <w:trHeight w:val="1706"/>
        </w:trPr>
        <w:tc>
          <w:tcPr>
            <w:tcW w:w="169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546D283E" w14:textId="77777777" w:rsidR="009A5AF9" w:rsidRPr="009A5AF9" w:rsidRDefault="009A5AF9" w:rsidP="009A5AF9">
            <w:r w:rsidRPr="009A5AF9">
              <w:t>Formål</w:t>
            </w:r>
          </w:p>
        </w:tc>
        <w:tc>
          <w:tcPr>
            <w:tcW w:w="818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7AADC53C" w14:textId="2F0C1144" w:rsidR="009B6E94" w:rsidRDefault="009B6E94" w:rsidP="009B6E94">
            <w:r w:rsidRPr="0077274E">
              <w:t xml:space="preserve">Formålet med dette princip er at opstille hegnspæle for hvordan </w:t>
            </w:r>
            <w:r>
              <w:t>Avedøre Skole arbejder med elevernes udvikling i skolens faglige og sociale fællesskaber</w:t>
            </w:r>
            <w:r w:rsidRPr="0077274E">
              <w:t>. Princippet</w:t>
            </w:r>
            <w:r w:rsidR="00D01AFC">
              <w:t xml:space="preserve"> tager sit udgangspunkt i værdiregelsættet for Avedøre Skole og</w:t>
            </w:r>
            <w:r w:rsidRPr="0077274E">
              <w:t xml:space="preserve"> afspejler skolebestyrelsen prioriteter indenfor bl.a. </w:t>
            </w:r>
          </w:p>
          <w:p w14:paraId="77749285" w14:textId="27087C49" w:rsidR="009B6E94" w:rsidRDefault="009B6E94" w:rsidP="009B6E94">
            <w:pPr>
              <w:pStyle w:val="Listeafsnit"/>
              <w:numPr>
                <w:ilvl w:val="0"/>
                <w:numId w:val="3"/>
              </w:numPr>
            </w:pPr>
            <w:r>
              <w:t>Skolens rolle i skabelse og videreudvikling af en fælles forståelse af inkluderende fællesskaber, herunder en fælles sprogbrug</w:t>
            </w:r>
            <w:r w:rsidR="00D01AFC">
              <w:t xml:space="preserve"> som går på tværs af hele skolen</w:t>
            </w:r>
            <w:r>
              <w:t>.</w:t>
            </w:r>
          </w:p>
          <w:p w14:paraId="4E25DEBE" w14:textId="75D0F573" w:rsidR="009B6E94" w:rsidRDefault="009B6E94" w:rsidP="009B6E94">
            <w:pPr>
              <w:pStyle w:val="Listeafsnit"/>
              <w:numPr>
                <w:ilvl w:val="0"/>
                <w:numId w:val="3"/>
              </w:numPr>
            </w:pPr>
            <w:r>
              <w:t>Forældrenes rolle i at støtte op om fællesskaber for alle elever på skolen</w:t>
            </w:r>
            <w:r w:rsidR="00D01AFC">
              <w:t xml:space="preserve"> ved at kommunikere respektfuldt og i en positiv tone, både på skrift og mundtligt</w:t>
            </w:r>
            <w:r>
              <w:t>.</w:t>
            </w:r>
          </w:p>
          <w:p w14:paraId="1DDF048E" w14:textId="10403C15" w:rsidR="009B6E94" w:rsidRDefault="009B6E94" w:rsidP="009B6E94">
            <w:pPr>
              <w:pStyle w:val="Listeafsnit"/>
              <w:numPr>
                <w:ilvl w:val="0"/>
                <w:numId w:val="3"/>
              </w:numPr>
            </w:pPr>
            <w:r>
              <w:t>Elevernes rolle i at skabe og vedligeholde inkluderende fællesskaber</w:t>
            </w:r>
            <w:r w:rsidR="00D01AFC">
              <w:t>, hvor succeser markeres uanset hvor små eller store de er</w:t>
            </w:r>
            <w:r>
              <w:t>.</w:t>
            </w:r>
          </w:p>
          <w:p w14:paraId="0FBE73C9" w14:textId="5CBA898C" w:rsidR="009B6E94" w:rsidRDefault="009B6E94" w:rsidP="009B6E94">
            <w:pPr>
              <w:pStyle w:val="Listeafsnit"/>
              <w:numPr>
                <w:ilvl w:val="0"/>
                <w:numId w:val="3"/>
              </w:numPr>
            </w:pPr>
            <w:r>
              <w:t xml:space="preserve">Hvordan overgangen fra dagtilbud til skole </w:t>
            </w:r>
            <w:r w:rsidR="00D01AFC">
              <w:t>naturligt leder ind i</w:t>
            </w:r>
            <w:r>
              <w:t xml:space="preserve"> skolens</w:t>
            </w:r>
            <w:r w:rsidR="00D01AFC">
              <w:t xml:space="preserve"> samlede</w:t>
            </w:r>
            <w:r>
              <w:t xml:space="preserve"> fællesskab.</w:t>
            </w:r>
          </w:p>
          <w:p w14:paraId="186CA257" w14:textId="77777777" w:rsidR="009B6E94" w:rsidRDefault="009B6E94" w:rsidP="009B6E94">
            <w:pPr>
              <w:pStyle w:val="Listeafsnit"/>
              <w:numPr>
                <w:ilvl w:val="0"/>
                <w:numId w:val="3"/>
              </w:numPr>
            </w:pPr>
            <w:r>
              <w:t xml:space="preserve">Hvordan skolens ledelse, medarbejdere, forældre og elever </w:t>
            </w:r>
            <w:proofErr w:type="gramStart"/>
            <w:r>
              <w:t>i</w:t>
            </w:r>
            <w:proofErr w:type="gramEnd"/>
            <w:r>
              <w:t xml:space="preserve"> samarbejder i skabelsen et inkluderende læringsmiljø på skolen.</w:t>
            </w:r>
          </w:p>
          <w:p w14:paraId="1A9C9F8D" w14:textId="77777777" w:rsidR="009A5AF9" w:rsidRPr="009A5AF9" w:rsidRDefault="009B6E94" w:rsidP="009B6E94">
            <w:pPr>
              <w:pStyle w:val="Listeafsnit"/>
              <w:numPr>
                <w:ilvl w:val="0"/>
                <w:numId w:val="3"/>
              </w:numPr>
            </w:pPr>
            <w:r>
              <w:t>Hvordan skolen arbejder videns- og kompetencebaseret i forhold til elevernes forskellige behov i og uden for undervisningen.</w:t>
            </w:r>
          </w:p>
        </w:tc>
      </w:tr>
      <w:tr w:rsidR="009A5AF9" w:rsidRPr="009A5AF9" w14:paraId="2D142A8A" w14:textId="77777777" w:rsidTr="009A5AF9">
        <w:trPr>
          <w:trHeight w:val="1706"/>
        </w:trPr>
        <w:tc>
          <w:tcPr>
            <w:tcW w:w="169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25116B02" w14:textId="77777777" w:rsidR="009A5AF9" w:rsidRPr="009A5AF9" w:rsidRDefault="009A5AF9" w:rsidP="009A5AF9">
            <w:r w:rsidRPr="009A5AF9">
              <w:t>Mål</w:t>
            </w:r>
          </w:p>
        </w:tc>
        <w:tc>
          <w:tcPr>
            <w:tcW w:w="818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2842FDED" w14:textId="1A85C9AB" w:rsidR="009A5AF9" w:rsidRPr="009A5AF9" w:rsidRDefault="009B6E94" w:rsidP="009B6E94">
            <w:r>
              <w:t>Skole, forældre og elever samarbejder om at skabe faglige og sociale fællesskaber på indenfor og på tværs af almen, mellemformer og specialundervisning på Avedøre Skole.</w:t>
            </w:r>
            <w:r w:rsidR="00D01AFC">
              <w:t xml:space="preserve"> Grundpræmisserne for dette er at værdiregelsættet for Avedøre Skole er gennemgående for omgangsformen for både skolen, forældre og elever.</w:t>
            </w:r>
          </w:p>
        </w:tc>
      </w:tr>
      <w:tr w:rsidR="009A5AF9" w:rsidRPr="009A5AF9" w14:paraId="76011B8C" w14:textId="77777777" w:rsidTr="009B6E94">
        <w:trPr>
          <w:trHeight w:val="617"/>
        </w:trPr>
        <w:tc>
          <w:tcPr>
            <w:tcW w:w="169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79B0C7DF" w14:textId="77777777" w:rsidR="009A5AF9" w:rsidRPr="009A5AF9" w:rsidRDefault="009A5AF9" w:rsidP="009A5AF9">
            <w:r w:rsidRPr="009A5AF9">
              <w:t>Skolens Ansvar</w:t>
            </w:r>
          </w:p>
        </w:tc>
        <w:tc>
          <w:tcPr>
            <w:tcW w:w="818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0DF0AAC1" w14:textId="34995452" w:rsidR="009B6E94" w:rsidRDefault="009B6E94" w:rsidP="009B6E94">
            <w:r>
              <w:t>Skolen har pligt til at skabe en fælles ramme for inkluderende fællesskaber, herunder en fælles sprogbrug, for både almen, mellemformer og specialundervisning på Avedøre Skole. Rammen drøftes med skolebestyrelsen forud for implementering.</w:t>
            </w:r>
            <w:r w:rsidR="00D01AFC">
              <w:t xml:space="preserve"> Dette er senest udmøntet i form af en samlet mobilpolitik for hele Avedøre Skole.</w:t>
            </w:r>
          </w:p>
          <w:p w14:paraId="64D36196" w14:textId="2E1BEF42" w:rsidR="009B6E94" w:rsidRDefault="009B6E94" w:rsidP="009B6E94">
            <w:r>
              <w:t>Skolen har pligt til, at der i forbindelse med overgang fra dagtilbud til skole sikres, at alle elever bliver en del af fællesskabet i både klassen og skolen som helhed.</w:t>
            </w:r>
            <w:r w:rsidR="00D01AFC">
              <w:t xml:space="preserve"> Hvordan dette skal </w:t>
            </w:r>
            <w:proofErr w:type="gramStart"/>
            <w:r w:rsidR="00D01AFC">
              <w:t>ske</w:t>
            </w:r>
            <w:proofErr w:type="gramEnd"/>
            <w:r w:rsidR="00D01AFC">
              <w:t xml:space="preserve"> besluttes af ledelsen på Avedøre Skole.</w:t>
            </w:r>
          </w:p>
          <w:p w14:paraId="1C53AF88" w14:textId="41B1254B" w:rsidR="009B6E94" w:rsidRDefault="009B6E94" w:rsidP="009B6E94">
            <w:r>
              <w:t>Skolens ledelse er forpligtet til aktivt at understøtte skabelsen af inkluderende læringsmiljø(er) på skolen. Dette vil tage sit udgangspunkt i de løbende undervisningsmiljøvurderinger og en aktiv dialog med skolens elevråd.</w:t>
            </w:r>
            <w:r w:rsidR="00D01AFC">
              <w:t xml:space="preserve"> Undervisningsmiljøvurderingen skal, udover de efter lov obligatoriske emner, også berøre kerneværdierne i værdiregelsættet for Avedøre Skole.</w:t>
            </w:r>
          </w:p>
          <w:p w14:paraId="5181A76F" w14:textId="77777777" w:rsidR="009A5AF9" w:rsidRPr="009A5AF9" w:rsidRDefault="009B6E94" w:rsidP="0047066E">
            <w:r>
              <w:t xml:space="preserve">Skolen tilstræber, at arbejdet med at skabe inkluderende fællesskaber sker på baggrund af en videns- og kompetencebaseret tilgang og med </w:t>
            </w:r>
            <w:r w:rsidR="0047066E">
              <w:t>at imødegå</w:t>
            </w:r>
            <w:r>
              <w:t xml:space="preserve"> elevernes forskellige behov.</w:t>
            </w:r>
          </w:p>
        </w:tc>
      </w:tr>
      <w:tr w:rsidR="009A5AF9" w:rsidRPr="009A5AF9" w14:paraId="4B381FDD" w14:textId="77777777" w:rsidTr="009A5AF9">
        <w:trPr>
          <w:trHeight w:val="1706"/>
        </w:trPr>
        <w:tc>
          <w:tcPr>
            <w:tcW w:w="169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238ABBFA" w14:textId="77777777" w:rsidR="009A5AF9" w:rsidRPr="009A5AF9" w:rsidRDefault="009A5AF9" w:rsidP="009A5AF9">
            <w:r w:rsidRPr="009A5AF9">
              <w:lastRenderedPageBreak/>
              <w:t>Forældrenes Ansvar</w:t>
            </w:r>
          </w:p>
        </w:tc>
        <w:tc>
          <w:tcPr>
            <w:tcW w:w="818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1C5A31E0" w14:textId="2C7BB74E" w:rsidR="009A5AF9" w:rsidRPr="009A5AF9" w:rsidRDefault="0047066E" w:rsidP="009D020F">
            <w:r>
              <w:t>F</w:t>
            </w:r>
            <w:r w:rsidR="009B6E94">
              <w:t>orældrene</w:t>
            </w:r>
            <w:r>
              <w:t xml:space="preserve"> har pligt til at </w:t>
            </w:r>
            <w:r w:rsidR="009B6E94">
              <w:t xml:space="preserve">støtte op om </w:t>
            </w:r>
            <w:r>
              <w:t xml:space="preserve">både de faglige og sociale </w:t>
            </w:r>
            <w:r w:rsidR="009B6E94">
              <w:t>fællesskabe</w:t>
            </w:r>
            <w:r>
              <w:t>r på Avedøre Skole.</w:t>
            </w:r>
            <w:r w:rsidR="0080544D">
              <w:t xml:space="preserve"> Eksempler på disse er Åbent Hus, lejrskoler og Skolernes Motionsløb mm.</w:t>
            </w:r>
            <w:r>
              <w:t xml:space="preserve"> Hvis forældre har spørgsmål til eller </w:t>
            </w:r>
            <w:r w:rsidR="009D020F">
              <w:t>undrer sig</w:t>
            </w:r>
            <w:r>
              <w:t xml:space="preserve"> over de faglige og sociale </w:t>
            </w:r>
            <w:proofErr w:type="gramStart"/>
            <w:r>
              <w:t>fællesskaber</w:t>
            </w:r>
            <w:proofErr w:type="gramEnd"/>
            <w:r>
              <w:t xml:space="preserve"> henvender de sig direkte til</w:t>
            </w:r>
            <w:r w:rsidR="009D020F">
              <w:t>den aktuelle klasselærer</w:t>
            </w:r>
            <w:r>
              <w:t>.</w:t>
            </w:r>
          </w:p>
        </w:tc>
      </w:tr>
      <w:tr w:rsidR="009A5AF9" w:rsidRPr="009A5AF9" w14:paraId="73A47AC6" w14:textId="77777777" w:rsidTr="009A5AF9">
        <w:trPr>
          <w:trHeight w:val="1706"/>
        </w:trPr>
        <w:tc>
          <w:tcPr>
            <w:tcW w:w="169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432B31AF" w14:textId="77777777" w:rsidR="009A5AF9" w:rsidRPr="009A5AF9" w:rsidRDefault="009A5AF9" w:rsidP="009A5AF9">
            <w:r w:rsidRPr="009A5AF9">
              <w:t>Elevernes Ansvar</w:t>
            </w:r>
          </w:p>
        </w:tc>
        <w:tc>
          <w:tcPr>
            <w:tcW w:w="818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6B1DDC97" w14:textId="039F4F4D" w:rsidR="009B6E94" w:rsidRPr="009A5AF9" w:rsidRDefault="0047066E" w:rsidP="009A5AF9">
            <w:r>
              <w:t>E</w:t>
            </w:r>
            <w:r w:rsidR="009B6E94" w:rsidRPr="009B6E94">
              <w:t xml:space="preserve">leverne </w:t>
            </w:r>
            <w:r>
              <w:t>har pligt til at deltage i</w:t>
            </w:r>
            <w:r w:rsidR="009B6E94" w:rsidRPr="009B6E94">
              <w:t xml:space="preserve"> skabe</w:t>
            </w:r>
            <w:r>
              <w:t>lsen</w:t>
            </w:r>
            <w:r w:rsidR="009B6E94" w:rsidRPr="009B6E94">
              <w:t xml:space="preserve"> og vedligeholde</w:t>
            </w:r>
            <w:r>
              <w:t>lsen af skolens</w:t>
            </w:r>
            <w:r w:rsidR="009B6E94" w:rsidRPr="009B6E94">
              <w:t xml:space="preserve"> inkluderende fællesskaber</w:t>
            </w:r>
            <w:r w:rsidR="009D020F">
              <w:t xml:space="preserve"> (deltagelsesmuligheder for alle)</w:t>
            </w:r>
            <w:r w:rsidR="009B6E94" w:rsidRPr="009B6E94">
              <w:t>.</w:t>
            </w:r>
            <w:r>
              <w:t xml:space="preserve"> Skolens inkluderende fællesskaber drøftes fast på elevrådsmøderne og evt. ønsker fra disse møder medtages til drøftelse i den samlede skolebestyrelse.</w:t>
            </w:r>
          </w:p>
        </w:tc>
      </w:tr>
      <w:tr w:rsidR="009A5AF9" w:rsidRPr="009A5AF9" w14:paraId="7011F500" w14:textId="77777777" w:rsidTr="009A5AF9">
        <w:trPr>
          <w:trHeight w:val="1706"/>
        </w:trPr>
        <w:tc>
          <w:tcPr>
            <w:tcW w:w="169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0806E9C1" w14:textId="77777777" w:rsidR="009A5AF9" w:rsidRPr="009A5AF9" w:rsidRDefault="009A5AF9" w:rsidP="009A5AF9">
            <w:r w:rsidRPr="009A5AF9">
              <w:t>Succeskriterier</w:t>
            </w:r>
          </w:p>
        </w:tc>
        <w:tc>
          <w:tcPr>
            <w:tcW w:w="8181" w:type="dxa"/>
            <w:tcBorders>
              <w:top w:val="single" w:sz="8" w:space="0" w:color="FFFFFF"/>
              <w:left w:val="single" w:sz="8" w:space="0" w:color="FFFFFF"/>
              <w:bottom w:val="single" w:sz="8" w:space="0" w:color="FFFFFF"/>
              <w:right w:val="single" w:sz="8" w:space="0" w:color="FFFFFF"/>
            </w:tcBorders>
            <w:shd w:val="clear" w:color="auto" w:fill="ECEEF0"/>
            <w:tcMar>
              <w:top w:w="72" w:type="dxa"/>
              <w:left w:w="144" w:type="dxa"/>
              <w:bottom w:w="72" w:type="dxa"/>
              <w:right w:w="144" w:type="dxa"/>
            </w:tcMar>
            <w:hideMark/>
          </w:tcPr>
          <w:p w14:paraId="0C425347" w14:textId="7A3E1C03" w:rsidR="009A5AF9" w:rsidRDefault="0047066E" w:rsidP="009A5AF9">
            <w:r>
              <w:t xml:space="preserve">Avedøre Skole lykkedes med at kunne stille et meningsfuldt undervisningstilbud for alle elever på skolen, uagtet om de indgår i almendelen, mellemformer eller specialundervisning. </w:t>
            </w:r>
          </w:p>
          <w:p w14:paraId="0D8908ED" w14:textId="77777777" w:rsidR="0047066E" w:rsidRDefault="0047066E" w:rsidP="009A5AF9">
            <w:r>
              <w:t>Måles på tilvalg af distriktsskolen og fastholdelse af på alle klassetrin uanset undervisningstype. Skolebestyrelsen orienteres årligt om optag, herunder til-/fravalg af Avedøre Skole og evt. udsivning til andre skoler (herunder frie og private grundskoler)</w:t>
            </w:r>
            <w:r w:rsidR="00D01AFC">
              <w:t xml:space="preserve">. </w:t>
            </w:r>
          </w:p>
          <w:p w14:paraId="67818D2D" w14:textId="709EC4C4" w:rsidR="00D01AFC" w:rsidRPr="009A5AF9" w:rsidRDefault="00D01AFC" w:rsidP="009A5AF9">
            <w:r>
              <w:t>Undervisningsmiljøvurderingen foretages mindst hvert tredje år. Skolebestyrelsen orienteres om resultatet af vurderingen</w:t>
            </w:r>
            <w:r w:rsidR="00873EBC">
              <w:t xml:space="preserve"> og resultatet af trivselsmålingen</w:t>
            </w:r>
            <w:r>
              <w:t xml:space="preserve"> på et møde.</w:t>
            </w:r>
          </w:p>
        </w:tc>
      </w:tr>
    </w:tbl>
    <w:p w14:paraId="7BF0F24A" w14:textId="77777777" w:rsidR="009A5AF9" w:rsidRDefault="009A5AF9"/>
    <w:p w14:paraId="58A94995" w14:textId="152FEEF7" w:rsidR="00DC26C0" w:rsidRDefault="00DC26C0">
      <w:r>
        <w:t>Godkendt af Avedøre Skoles Skolebestyrelse 1. oktober 2024</w:t>
      </w:r>
    </w:p>
    <w:sectPr w:rsidR="00DC26C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D37E0" w14:textId="77777777" w:rsidR="007C7A2E" w:rsidRDefault="007C7A2E" w:rsidP="005D5B52">
      <w:pPr>
        <w:spacing w:after="0" w:line="240" w:lineRule="auto"/>
      </w:pPr>
      <w:r>
        <w:separator/>
      </w:r>
    </w:p>
  </w:endnote>
  <w:endnote w:type="continuationSeparator" w:id="0">
    <w:p w14:paraId="2673AA79" w14:textId="77777777" w:rsidR="007C7A2E" w:rsidRDefault="007C7A2E" w:rsidP="005D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3B842" w14:textId="77777777" w:rsidR="007C7A2E" w:rsidRDefault="007C7A2E" w:rsidP="005D5B52">
      <w:pPr>
        <w:spacing w:after="0" w:line="240" w:lineRule="auto"/>
      </w:pPr>
      <w:r>
        <w:separator/>
      </w:r>
    </w:p>
  </w:footnote>
  <w:footnote w:type="continuationSeparator" w:id="0">
    <w:p w14:paraId="46053D3E" w14:textId="77777777" w:rsidR="007C7A2E" w:rsidRDefault="007C7A2E" w:rsidP="005D5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2D6A8B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9201AA4"/>
    <w:multiLevelType w:val="hybridMultilevel"/>
    <w:tmpl w:val="864CA54A"/>
    <w:lvl w:ilvl="0" w:tplc="9536E5E8">
      <w:start w:val="1"/>
      <w:numFmt w:val="bullet"/>
      <w:lvlText w:val="•"/>
      <w:lvlJc w:val="left"/>
      <w:pPr>
        <w:tabs>
          <w:tab w:val="num" w:pos="720"/>
        </w:tabs>
        <w:ind w:left="720" w:hanging="360"/>
      </w:pPr>
      <w:rPr>
        <w:rFonts w:ascii="Arial" w:hAnsi="Arial" w:hint="default"/>
      </w:rPr>
    </w:lvl>
    <w:lvl w:ilvl="1" w:tplc="86F8790E" w:tentative="1">
      <w:start w:val="1"/>
      <w:numFmt w:val="bullet"/>
      <w:lvlText w:val="•"/>
      <w:lvlJc w:val="left"/>
      <w:pPr>
        <w:tabs>
          <w:tab w:val="num" w:pos="1440"/>
        </w:tabs>
        <w:ind w:left="1440" w:hanging="360"/>
      </w:pPr>
      <w:rPr>
        <w:rFonts w:ascii="Arial" w:hAnsi="Arial" w:hint="default"/>
      </w:rPr>
    </w:lvl>
    <w:lvl w:ilvl="2" w:tplc="99D031F2" w:tentative="1">
      <w:start w:val="1"/>
      <w:numFmt w:val="bullet"/>
      <w:lvlText w:val="•"/>
      <w:lvlJc w:val="left"/>
      <w:pPr>
        <w:tabs>
          <w:tab w:val="num" w:pos="2160"/>
        </w:tabs>
        <w:ind w:left="2160" w:hanging="360"/>
      </w:pPr>
      <w:rPr>
        <w:rFonts w:ascii="Arial" w:hAnsi="Arial" w:hint="default"/>
      </w:rPr>
    </w:lvl>
    <w:lvl w:ilvl="3" w:tplc="59DA9CD4" w:tentative="1">
      <w:start w:val="1"/>
      <w:numFmt w:val="bullet"/>
      <w:lvlText w:val="•"/>
      <w:lvlJc w:val="left"/>
      <w:pPr>
        <w:tabs>
          <w:tab w:val="num" w:pos="2880"/>
        </w:tabs>
        <w:ind w:left="2880" w:hanging="360"/>
      </w:pPr>
      <w:rPr>
        <w:rFonts w:ascii="Arial" w:hAnsi="Arial" w:hint="default"/>
      </w:rPr>
    </w:lvl>
    <w:lvl w:ilvl="4" w:tplc="1E88B448" w:tentative="1">
      <w:start w:val="1"/>
      <w:numFmt w:val="bullet"/>
      <w:lvlText w:val="•"/>
      <w:lvlJc w:val="left"/>
      <w:pPr>
        <w:tabs>
          <w:tab w:val="num" w:pos="3600"/>
        </w:tabs>
        <w:ind w:left="3600" w:hanging="360"/>
      </w:pPr>
      <w:rPr>
        <w:rFonts w:ascii="Arial" w:hAnsi="Arial" w:hint="default"/>
      </w:rPr>
    </w:lvl>
    <w:lvl w:ilvl="5" w:tplc="AA9E1E78" w:tentative="1">
      <w:start w:val="1"/>
      <w:numFmt w:val="bullet"/>
      <w:lvlText w:val="•"/>
      <w:lvlJc w:val="left"/>
      <w:pPr>
        <w:tabs>
          <w:tab w:val="num" w:pos="4320"/>
        </w:tabs>
        <w:ind w:left="4320" w:hanging="360"/>
      </w:pPr>
      <w:rPr>
        <w:rFonts w:ascii="Arial" w:hAnsi="Arial" w:hint="default"/>
      </w:rPr>
    </w:lvl>
    <w:lvl w:ilvl="6" w:tplc="4D9CA9BE" w:tentative="1">
      <w:start w:val="1"/>
      <w:numFmt w:val="bullet"/>
      <w:lvlText w:val="•"/>
      <w:lvlJc w:val="left"/>
      <w:pPr>
        <w:tabs>
          <w:tab w:val="num" w:pos="5040"/>
        </w:tabs>
        <w:ind w:left="5040" w:hanging="360"/>
      </w:pPr>
      <w:rPr>
        <w:rFonts w:ascii="Arial" w:hAnsi="Arial" w:hint="default"/>
      </w:rPr>
    </w:lvl>
    <w:lvl w:ilvl="7" w:tplc="5242314E" w:tentative="1">
      <w:start w:val="1"/>
      <w:numFmt w:val="bullet"/>
      <w:lvlText w:val="•"/>
      <w:lvlJc w:val="left"/>
      <w:pPr>
        <w:tabs>
          <w:tab w:val="num" w:pos="5760"/>
        </w:tabs>
        <w:ind w:left="5760" w:hanging="360"/>
      </w:pPr>
      <w:rPr>
        <w:rFonts w:ascii="Arial" w:hAnsi="Arial" w:hint="default"/>
      </w:rPr>
    </w:lvl>
    <w:lvl w:ilvl="8" w:tplc="E60C17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D85C43"/>
    <w:multiLevelType w:val="hybridMultilevel"/>
    <w:tmpl w:val="64686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9082235">
    <w:abstractNumId w:val="0"/>
  </w:num>
  <w:num w:numId="2" w16cid:durableId="1311135241">
    <w:abstractNumId w:val="1"/>
  </w:num>
  <w:num w:numId="3" w16cid:durableId="523400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4E"/>
    <w:rsid w:val="00020D77"/>
    <w:rsid w:val="0007335A"/>
    <w:rsid w:val="000F35F8"/>
    <w:rsid w:val="0025615A"/>
    <w:rsid w:val="002B3B6B"/>
    <w:rsid w:val="0030745D"/>
    <w:rsid w:val="00341390"/>
    <w:rsid w:val="00351652"/>
    <w:rsid w:val="0047066E"/>
    <w:rsid w:val="005D5B52"/>
    <w:rsid w:val="006B7B76"/>
    <w:rsid w:val="007175E2"/>
    <w:rsid w:val="0077274E"/>
    <w:rsid w:val="007C7A2E"/>
    <w:rsid w:val="0080544D"/>
    <w:rsid w:val="00873EBC"/>
    <w:rsid w:val="008D14D8"/>
    <w:rsid w:val="0091403C"/>
    <w:rsid w:val="009A5AF9"/>
    <w:rsid w:val="009B6E94"/>
    <w:rsid w:val="009D020F"/>
    <w:rsid w:val="00B81E9F"/>
    <w:rsid w:val="00D01AFC"/>
    <w:rsid w:val="00D35DB4"/>
    <w:rsid w:val="00DC26C0"/>
    <w:rsid w:val="00DF5311"/>
    <w:rsid w:val="00E950CD"/>
    <w:rsid w:val="00F21653"/>
    <w:rsid w:val="00FF1F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E9582"/>
  <w15:chartTrackingRefBased/>
  <w15:docId w15:val="{5B2D999A-AC07-4B61-9F49-F97A7134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727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274E"/>
    <w:rPr>
      <w:rFonts w:asciiTheme="majorHAnsi" w:eastAsiaTheme="majorEastAsia" w:hAnsiTheme="majorHAnsi" w:cstheme="majorBidi"/>
      <w:color w:val="2E74B5" w:themeColor="accent1" w:themeShade="BF"/>
      <w:sz w:val="32"/>
      <w:szCs w:val="32"/>
    </w:rPr>
  </w:style>
  <w:style w:type="paragraph" w:styleId="Opstilling-punkttegn">
    <w:name w:val="List Bullet"/>
    <w:basedOn w:val="Normal"/>
    <w:uiPriority w:val="99"/>
    <w:semiHidden/>
    <w:unhideWhenUsed/>
    <w:rsid w:val="0077274E"/>
    <w:pPr>
      <w:numPr>
        <w:numId w:val="1"/>
      </w:numPr>
      <w:contextualSpacing/>
    </w:pPr>
  </w:style>
  <w:style w:type="paragraph" w:styleId="Listeafsnit">
    <w:name w:val="List Paragraph"/>
    <w:basedOn w:val="Normal"/>
    <w:uiPriority w:val="34"/>
    <w:qFormat/>
    <w:rsid w:val="009B6E94"/>
    <w:pPr>
      <w:ind w:left="720"/>
      <w:contextualSpacing/>
    </w:pPr>
  </w:style>
  <w:style w:type="character" w:styleId="Kommentarhenvisning">
    <w:name w:val="annotation reference"/>
    <w:basedOn w:val="Standardskrifttypeiafsnit"/>
    <w:uiPriority w:val="99"/>
    <w:semiHidden/>
    <w:unhideWhenUsed/>
    <w:rsid w:val="0047066E"/>
    <w:rPr>
      <w:sz w:val="16"/>
      <w:szCs w:val="16"/>
    </w:rPr>
  </w:style>
  <w:style w:type="paragraph" w:styleId="Kommentartekst">
    <w:name w:val="annotation text"/>
    <w:basedOn w:val="Normal"/>
    <w:link w:val="KommentartekstTegn"/>
    <w:uiPriority w:val="99"/>
    <w:semiHidden/>
    <w:unhideWhenUsed/>
    <w:rsid w:val="0047066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7066E"/>
    <w:rPr>
      <w:sz w:val="20"/>
      <w:szCs w:val="20"/>
    </w:rPr>
  </w:style>
  <w:style w:type="paragraph" w:styleId="Kommentaremne">
    <w:name w:val="annotation subject"/>
    <w:basedOn w:val="Kommentartekst"/>
    <w:next w:val="Kommentartekst"/>
    <w:link w:val="KommentaremneTegn"/>
    <w:uiPriority w:val="99"/>
    <w:semiHidden/>
    <w:unhideWhenUsed/>
    <w:rsid w:val="0047066E"/>
    <w:rPr>
      <w:b/>
      <w:bCs/>
    </w:rPr>
  </w:style>
  <w:style w:type="character" w:customStyle="1" w:styleId="KommentaremneTegn">
    <w:name w:val="Kommentaremne Tegn"/>
    <w:basedOn w:val="KommentartekstTegn"/>
    <w:link w:val="Kommentaremne"/>
    <w:uiPriority w:val="99"/>
    <w:semiHidden/>
    <w:rsid w:val="0047066E"/>
    <w:rPr>
      <w:b/>
      <w:bCs/>
      <w:sz w:val="20"/>
      <w:szCs w:val="20"/>
    </w:rPr>
  </w:style>
  <w:style w:type="paragraph" w:styleId="Markeringsbobletekst">
    <w:name w:val="Balloon Text"/>
    <w:basedOn w:val="Normal"/>
    <w:link w:val="MarkeringsbobletekstTegn"/>
    <w:uiPriority w:val="99"/>
    <w:semiHidden/>
    <w:unhideWhenUsed/>
    <w:rsid w:val="0047066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7066E"/>
    <w:rPr>
      <w:rFonts w:ascii="Segoe UI" w:hAnsi="Segoe UI" w:cs="Segoe UI"/>
      <w:sz w:val="18"/>
      <w:szCs w:val="18"/>
    </w:rPr>
  </w:style>
  <w:style w:type="paragraph" w:styleId="Sidehoved">
    <w:name w:val="header"/>
    <w:basedOn w:val="Normal"/>
    <w:link w:val="SidehovedTegn"/>
    <w:uiPriority w:val="99"/>
    <w:unhideWhenUsed/>
    <w:rsid w:val="005D5B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D5B52"/>
  </w:style>
  <w:style w:type="paragraph" w:styleId="Sidefod">
    <w:name w:val="footer"/>
    <w:basedOn w:val="Normal"/>
    <w:link w:val="SidefodTegn"/>
    <w:uiPriority w:val="99"/>
    <w:unhideWhenUsed/>
    <w:rsid w:val="005D5B5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5B52"/>
  </w:style>
  <w:style w:type="paragraph" w:styleId="Korrektur">
    <w:name w:val="Revision"/>
    <w:hidden/>
    <w:uiPriority w:val="99"/>
    <w:semiHidden/>
    <w:rsid w:val="00F21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3196">
      <w:bodyDiv w:val="1"/>
      <w:marLeft w:val="0"/>
      <w:marRight w:val="0"/>
      <w:marTop w:val="0"/>
      <w:marBottom w:val="0"/>
      <w:divBdr>
        <w:top w:val="none" w:sz="0" w:space="0" w:color="auto"/>
        <w:left w:val="none" w:sz="0" w:space="0" w:color="auto"/>
        <w:bottom w:val="none" w:sz="0" w:space="0" w:color="auto"/>
        <w:right w:val="none" w:sz="0" w:space="0" w:color="auto"/>
      </w:divBdr>
    </w:div>
    <w:div w:id="534854213">
      <w:bodyDiv w:val="1"/>
      <w:marLeft w:val="0"/>
      <w:marRight w:val="0"/>
      <w:marTop w:val="0"/>
      <w:marBottom w:val="0"/>
      <w:divBdr>
        <w:top w:val="none" w:sz="0" w:space="0" w:color="auto"/>
        <w:left w:val="none" w:sz="0" w:space="0" w:color="auto"/>
        <w:bottom w:val="none" w:sz="0" w:space="0" w:color="auto"/>
        <w:right w:val="none" w:sz="0" w:space="0" w:color="auto"/>
      </w:divBdr>
      <w:divsChild>
        <w:div w:id="84226486">
          <w:marLeft w:val="446"/>
          <w:marRight w:val="0"/>
          <w:marTop w:val="0"/>
          <w:marBottom w:val="0"/>
          <w:divBdr>
            <w:top w:val="none" w:sz="0" w:space="0" w:color="auto"/>
            <w:left w:val="none" w:sz="0" w:space="0" w:color="auto"/>
            <w:bottom w:val="none" w:sz="0" w:space="0" w:color="auto"/>
            <w:right w:val="none" w:sz="0" w:space="0" w:color="auto"/>
          </w:divBdr>
        </w:div>
        <w:div w:id="2127430099">
          <w:marLeft w:val="446"/>
          <w:marRight w:val="0"/>
          <w:marTop w:val="0"/>
          <w:marBottom w:val="0"/>
          <w:divBdr>
            <w:top w:val="none" w:sz="0" w:space="0" w:color="auto"/>
            <w:left w:val="none" w:sz="0" w:space="0" w:color="auto"/>
            <w:bottom w:val="none" w:sz="0" w:space="0" w:color="auto"/>
            <w:right w:val="none" w:sz="0" w:space="0" w:color="auto"/>
          </w:divBdr>
        </w:div>
        <w:div w:id="889418635">
          <w:marLeft w:val="446"/>
          <w:marRight w:val="0"/>
          <w:marTop w:val="0"/>
          <w:marBottom w:val="0"/>
          <w:divBdr>
            <w:top w:val="none" w:sz="0" w:space="0" w:color="auto"/>
            <w:left w:val="none" w:sz="0" w:space="0" w:color="auto"/>
            <w:bottom w:val="none" w:sz="0" w:space="0" w:color="auto"/>
            <w:right w:val="none" w:sz="0" w:space="0" w:color="auto"/>
          </w:divBdr>
        </w:div>
        <w:div w:id="1175727385">
          <w:marLeft w:val="446"/>
          <w:marRight w:val="0"/>
          <w:marTop w:val="0"/>
          <w:marBottom w:val="0"/>
          <w:divBdr>
            <w:top w:val="none" w:sz="0" w:space="0" w:color="auto"/>
            <w:left w:val="none" w:sz="0" w:space="0" w:color="auto"/>
            <w:bottom w:val="none" w:sz="0" w:space="0" w:color="auto"/>
            <w:right w:val="none" w:sz="0" w:space="0" w:color="auto"/>
          </w:divBdr>
        </w:div>
        <w:div w:id="233207237">
          <w:marLeft w:val="446"/>
          <w:marRight w:val="0"/>
          <w:marTop w:val="0"/>
          <w:marBottom w:val="0"/>
          <w:divBdr>
            <w:top w:val="none" w:sz="0" w:space="0" w:color="auto"/>
            <w:left w:val="none" w:sz="0" w:space="0" w:color="auto"/>
            <w:bottom w:val="none" w:sz="0" w:space="0" w:color="auto"/>
            <w:right w:val="none" w:sz="0" w:space="0" w:color="auto"/>
          </w:divBdr>
        </w:div>
        <w:div w:id="1286426472">
          <w:marLeft w:val="446"/>
          <w:marRight w:val="0"/>
          <w:marTop w:val="0"/>
          <w:marBottom w:val="0"/>
          <w:divBdr>
            <w:top w:val="none" w:sz="0" w:space="0" w:color="auto"/>
            <w:left w:val="none" w:sz="0" w:space="0" w:color="auto"/>
            <w:bottom w:val="none" w:sz="0" w:space="0" w:color="auto"/>
            <w:right w:val="none" w:sz="0" w:space="0" w:color="auto"/>
          </w:divBdr>
        </w:div>
        <w:div w:id="871917564">
          <w:marLeft w:val="446"/>
          <w:marRight w:val="0"/>
          <w:marTop w:val="0"/>
          <w:marBottom w:val="0"/>
          <w:divBdr>
            <w:top w:val="none" w:sz="0" w:space="0" w:color="auto"/>
            <w:left w:val="none" w:sz="0" w:space="0" w:color="auto"/>
            <w:bottom w:val="none" w:sz="0" w:space="0" w:color="auto"/>
            <w:right w:val="none" w:sz="0" w:space="0" w:color="auto"/>
          </w:divBdr>
        </w:div>
        <w:div w:id="386296378">
          <w:marLeft w:val="446"/>
          <w:marRight w:val="0"/>
          <w:marTop w:val="0"/>
          <w:marBottom w:val="0"/>
          <w:divBdr>
            <w:top w:val="none" w:sz="0" w:space="0" w:color="auto"/>
            <w:left w:val="none" w:sz="0" w:space="0" w:color="auto"/>
            <w:bottom w:val="none" w:sz="0" w:space="0" w:color="auto"/>
            <w:right w:val="none" w:sz="0" w:space="0" w:color="auto"/>
          </w:divBdr>
        </w:div>
        <w:div w:id="1470366229">
          <w:marLeft w:val="446"/>
          <w:marRight w:val="0"/>
          <w:marTop w:val="0"/>
          <w:marBottom w:val="0"/>
          <w:divBdr>
            <w:top w:val="none" w:sz="0" w:space="0" w:color="auto"/>
            <w:left w:val="none" w:sz="0" w:space="0" w:color="auto"/>
            <w:bottom w:val="none" w:sz="0" w:space="0" w:color="auto"/>
            <w:right w:val="none" w:sz="0" w:space="0" w:color="auto"/>
          </w:divBdr>
        </w:div>
        <w:div w:id="210692475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Houe</dc:creator>
  <cp:keywords/>
  <dc:description/>
  <cp:lastModifiedBy>Helle Nielsen</cp:lastModifiedBy>
  <cp:revision>3</cp:revision>
  <dcterms:created xsi:type="dcterms:W3CDTF">2024-10-08T20:38:00Z</dcterms:created>
  <dcterms:modified xsi:type="dcterms:W3CDTF">2024-10-08T20:39:00Z</dcterms:modified>
</cp:coreProperties>
</file>